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0" w:rsidRPr="0069219A" w:rsidRDefault="008D1780" w:rsidP="008D1780">
      <w:pPr>
        <w:pStyle w:val="s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69219A">
        <w:rPr>
          <w:sz w:val="28"/>
          <w:szCs w:val="28"/>
        </w:rPr>
        <w:t>ИНФОРМАЦИЯ ДЛЯ ЛИКВИЛИРУ</w:t>
      </w:r>
      <w:bookmarkStart w:id="0" w:name="_GoBack"/>
      <w:bookmarkEnd w:id="0"/>
      <w:r w:rsidRPr="0069219A">
        <w:rPr>
          <w:sz w:val="28"/>
          <w:szCs w:val="28"/>
        </w:rPr>
        <w:t>ЕМЫХ ОРГАНИЗАЦИЙ</w:t>
      </w:r>
    </w:p>
    <w:p w:rsidR="008D1780" w:rsidRDefault="008D1780" w:rsidP="008D1780">
      <w:pPr>
        <w:pStyle w:val="s1"/>
        <w:shd w:val="clear" w:color="auto" w:fill="FFFFFF"/>
        <w:spacing w:before="0" w:beforeAutospacing="0" w:after="0" w:afterAutospacing="0" w:line="270" w:lineRule="atLeast"/>
        <w:rPr>
          <w:color w:val="464C55"/>
        </w:rPr>
      </w:pPr>
    </w:p>
    <w:p w:rsidR="008D1780" w:rsidRPr="0069219A" w:rsidRDefault="008D1780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ст.23 Федерального закона № 125-ФЗ «Об архивном деле в Российской Федерации»:</w:t>
      </w:r>
    </w:p>
    <w:p w:rsidR="008D1780" w:rsidRPr="0069219A" w:rsidRDefault="008D1780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 </w:t>
      </w:r>
      <w:hyperlink r:id="rId5" w:anchor="block_3013" w:history="1">
        <w:r w:rsidRPr="00692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временное хранение</w:t>
        </w:r>
      </w:hyperlink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вновь возникшим организациям-правопреемникам на основании договоров между данными организациями и соответствующими государственными или муниципальными архивами.</w:t>
      </w:r>
    </w:p>
    <w:p w:rsidR="008D1780" w:rsidRPr="0069219A" w:rsidRDefault="003B195F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соответствующими специально уполномоченным Правительством Российской Федерации федеральным органом исполнительной власти или уполномоченными органами исполнительной власти субъектов Российской Федерации в области архивного дела.</w:t>
      </w:r>
      <w:proofErr w:type="gramEnd"/>
    </w:p>
    <w:p w:rsidR="008D1780" w:rsidRPr="0069219A" w:rsidRDefault="003B195F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 </w:t>
      </w:r>
      <w:hyperlink r:id="rId6" w:anchor="block_303" w:history="1">
        <w:r w:rsidR="008D1780" w:rsidRPr="00692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документы по личному составу</w:t>
        </w:r>
      </w:hyperlink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D1780" w:rsidRPr="0069219A" w:rsidRDefault="00AC00A5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8D1780" w:rsidRPr="0069219A" w:rsidRDefault="00AC00A5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</w:t>
      </w:r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упорядоченном состоянии на хранение в соответствующий государственный или муниципальный архив на основании договора</w:t>
      </w:r>
      <w:proofErr w:type="gramEnd"/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ликвидационной комиссией (ликвидатором) или конкурсным управляющим и государственным или муниципальным архивом. При этом ликвидационная комиссия (ликвидатор) или конкурсный управляющий организует </w:t>
      </w:r>
      <w:hyperlink r:id="rId7" w:anchor="block_3017" w:history="1">
        <w:r w:rsidR="008D1780" w:rsidRPr="00692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упорядочение архивных документов</w:t>
        </w:r>
      </w:hyperlink>
      <w:r w:rsidR="008D1780" w:rsidRPr="0069219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ликвидируемой организации, в том числе организации, ликвидируемой в результате банкротства.</w:t>
      </w:r>
    </w:p>
    <w:p w:rsidR="00F2063A" w:rsidRPr="0069219A" w:rsidRDefault="0069219A" w:rsidP="00692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063A" w:rsidRPr="0069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0"/>
    <w:rsid w:val="003B195F"/>
    <w:rsid w:val="004C4BE5"/>
    <w:rsid w:val="0069219A"/>
    <w:rsid w:val="008D1780"/>
    <w:rsid w:val="0098311E"/>
    <w:rsid w:val="00A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780"/>
  </w:style>
  <w:style w:type="character" w:styleId="a3">
    <w:name w:val="Hyperlink"/>
    <w:basedOn w:val="a0"/>
    <w:uiPriority w:val="99"/>
    <w:semiHidden/>
    <w:unhideWhenUsed/>
    <w:rsid w:val="008D1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1780"/>
  </w:style>
  <w:style w:type="character" w:styleId="a3">
    <w:name w:val="Hyperlink"/>
    <w:basedOn w:val="a0"/>
    <w:uiPriority w:val="99"/>
    <w:semiHidden/>
    <w:unhideWhenUsed/>
    <w:rsid w:val="008D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7300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37300/1/" TargetMode="External"/><Relationship Id="rId5" Type="http://schemas.openxmlformats.org/officeDocument/2006/relationships/hyperlink" Target="http://base.garant.ru/12137300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2016-03-30T09:52:00Z</dcterms:created>
  <dcterms:modified xsi:type="dcterms:W3CDTF">2016-04-27T04:21:00Z</dcterms:modified>
</cp:coreProperties>
</file>